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0D6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43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30.12.2018 N 3025-р</w:t>
            </w:r>
            <w:r>
              <w:rPr>
                <w:sz w:val="48"/>
                <w:szCs w:val="48"/>
              </w:rPr>
              <w:br/>
              <w:t>&lt;Об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года&gt;</w:t>
            </w:r>
            <w:r>
              <w:rPr>
                <w:sz w:val="48"/>
                <w:szCs w:val="48"/>
              </w:rPr>
              <w:br/>
              <w:t xml:space="preserve">(вместе с "Планом мероприятий по </w:t>
            </w:r>
            <w:r>
              <w:rPr>
                <w:sz w:val="48"/>
                <w:szCs w:val="48"/>
              </w:rPr>
              <w:t>организации профессионального обучения и дополнительного профессионального образования граждан предпенсионного возраста на период до 2024 года")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43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</w:t>
            </w:r>
            <w:r>
              <w:rPr>
                <w:sz w:val="28"/>
                <w:szCs w:val="28"/>
              </w:rPr>
              <w:t>я: 15.01.2019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437C">
      <w:pPr>
        <w:pStyle w:val="ConsPlusNormal"/>
        <w:ind w:firstLine="540"/>
        <w:jc w:val="both"/>
        <w:outlineLvl w:val="0"/>
      </w:pPr>
    </w:p>
    <w:p w:rsidR="00000000" w:rsidRDefault="00BC43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C437C">
      <w:pPr>
        <w:pStyle w:val="ConsPlusTitle"/>
        <w:jc w:val="center"/>
      </w:pPr>
    </w:p>
    <w:p w:rsidR="00000000" w:rsidRDefault="00BC437C">
      <w:pPr>
        <w:pStyle w:val="ConsPlusTitle"/>
        <w:jc w:val="center"/>
      </w:pPr>
      <w:r>
        <w:t>РАСПОРЯЖЕНИЕ</w:t>
      </w:r>
    </w:p>
    <w:p w:rsidR="00000000" w:rsidRDefault="00BC437C">
      <w:pPr>
        <w:pStyle w:val="ConsPlusTitle"/>
        <w:jc w:val="center"/>
      </w:pPr>
      <w:r>
        <w:t>от 30 декабря 2018 г. N 3025-р</w:t>
      </w: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 xml:space="preserve">Специальную </w:t>
      </w:r>
      <w:hyperlink w:anchor="Par23" w:tooltip="СПЕЦИАЛЬНАЯ ПРОГРАММА" w:history="1">
        <w:r>
          <w:rPr>
            <w:color w:val="0000FF"/>
          </w:rPr>
          <w:t>программу</w:t>
        </w:r>
      </w:hyperlink>
      <w:r>
        <w:t xml:space="preserve"> профессионального обучения и дополнительного </w:t>
      </w:r>
      <w:r>
        <w:t>профессионального образования граждан предпенсионного возраста на период до 2024 года;</w:t>
      </w:r>
    </w:p>
    <w:p w:rsidR="00000000" w:rsidRDefault="00BC437C">
      <w:pPr>
        <w:pStyle w:val="ConsPlusNormal"/>
        <w:spacing w:before="240"/>
        <w:ind w:firstLine="540"/>
        <w:jc w:val="both"/>
      </w:pPr>
      <w:hyperlink w:anchor="Par78" w:tooltip="ПЛАН" w:history="1">
        <w:r>
          <w:rPr>
            <w:color w:val="0000FF"/>
          </w:rPr>
          <w:t>план</w:t>
        </w:r>
      </w:hyperlink>
      <w:r>
        <w:t xml:space="preserve"> мероприятий по организации профессионального обучения и дополнительного профессионального образования граждан предпенсионного возрас</w:t>
      </w:r>
      <w:r>
        <w:t>та на период до 2024 года.</w:t>
      </w: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jc w:val="right"/>
      </w:pPr>
      <w:r>
        <w:t>Председатель Правительства</w:t>
      </w:r>
    </w:p>
    <w:p w:rsidR="00000000" w:rsidRDefault="00BC437C">
      <w:pPr>
        <w:pStyle w:val="ConsPlusNormal"/>
        <w:jc w:val="right"/>
      </w:pPr>
      <w:r>
        <w:t>Российской Федерации</w:t>
      </w:r>
    </w:p>
    <w:p w:rsidR="00000000" w:rsidRDefault="00BC437C">
      <w:pPr>
        <w:pStyle w:val="ConsPlusNormal"/>
        <w:jc w:val="right"/>
      </w:pPr>
      <w:r>
        <w:t>Д.МЕДВЕДЕВ</w:t>
      </w: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jc w:val="right"/>
        <w:outlineLvl w:val="0"/>
      </w:pPr>
      <w:r>
        <w:t>Утверждена</w:t>
      </w:r>
    </w:p>
    <w:p w:rsidR="00000000" w:rsidRDefault="00BC437C">
      <w:pPr>
        <w:pStyle w:val="ConsPlusNormal"/>
        <w:jc w:val="right"/>
      </w:pPr>
      <w:r>
        <w:t>распоряжением Правительства</w:t>
      </w:r>
    </w:p>
    <w:p w:rsidR="00000000" w:rsidRDefault="00BC437C">
      <w:pPr>
        <w:pStyle w:val="ConsPlusNormal"/>
        <w:jc w:val="right"/>
      </w:pPr>
      <w:r>
        <w:t>Российской Федерации</w:t>
      </w:r>
    </w:p>
    <w:p w:rsidR="00000000" w:rsidRDefault="00BC437C">
      <w:pPr>
        <w:pStyle w:val="ConsPlusNormal"/>
        <w:jc w:val="right"/>
      </w:pPr>
      <w:r>
        <w:t>от 30 декабря 2018 г. N 3025-р</w:t>
      </w:r>
    </w:p>
    <w:p w:rsidR="00000000" w:rsidRDefault="00BC437C">
      <w:pPr>
        <w:pStyle w:val="ConsPlusNormal"/>
        <w:jc w:val="right"/>
      </w:pPr>
    </w:p>
    <w:p w:rsidR="00000000" w:rsidRDefault="00BC437C">
      <w:pPr>
        <w:pStyle w:val="ConsPlusTitle"/>
        <w:jc w:val="center"/>
      </w:pPr>
      <w:bookmarkStart w:id="0" w:name="Par23"/>
      <w:bookmarkEnd w:id="0"/>
      <w:r>
        <w:t>СПЕЦИАЛЬНАЯ ПРОГРАММА</w:t>
      </w:r>
    </w:p>
    <w:p w:rsidR="00000000" w:rsidRDefault="00BC437C">
      <w:pPr>
        <w:pStyle w:val="ConsPlusTitle"/>
        <w:jc w:val="center"/>
      </w:pPr>
      <w:r>
        <w:t>ПРОФЕССИОНАЛЬНОГО ОБУЧЕНИЯ И ДОПОЛНИТЕЛЬНОГО</w:t>
      </w:r>
    </w:p>
    <w:p w:rsidR="00000000" w:rsidRDefault="00BC437C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000000" w:rsidRDefault="00BC437C">
      <w:pPr>
        <w:pStyle w:val="ConsPlusTitle"/>
        <w:jc w:val="center"/>
      </w:pPr>
      <w:r>
        <w:t>ВОЗРАСТА НА ПЕРИОД ДО 2024 ГОДА</w:t>
      </w:r>
    </w:p>
    <w:p w:rsidR="00000000" w:rsidRDefault="00BC437C">
      <w:pPr>
        <w:pStyle w:val="ConsPlusNormal"/>
        <w:jc w:val="center"/>
      </w:pPr>
    </w:p>
    <w:p w:rsidR="00000000" w:rsidRDefault="00BC437C">
      <w:pPr>
        <w:pStyle w:val="ConsPlusNormal"/>
        <w:ind w:firstLine="540"/>
        <w:jc w:val="both"/>
      </w:pPr>
      <w:r>
        <w:t>Цель Специальной программы профессионального обучения и дополнительного профессионального образования граждан предпенсионног</w:t>
      </w:r>
      <w:r>
        <w:t>о возраста на период до 2024 года (далее - Программа) - содействие занятости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</w:t>
      </w:r>
      <w:r>
        <w:t>енций и навыков, обеспечивающих конкурентоспособность и профессиональную мобильность на рынке труда.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Участники Программы - граждане предпенсионного возраста (граждане в течение 5 лет до наступления возраста, дающего право на страховую пенсию по старости, в</w:t>
      </w:r>
      <w:r>
        <w:t xml:space="preserve"> том числе назначаемую досрочно). Участниками Программы являются как работники организаций, проходящие обучение по направлениям работодателей, так и граждане, самостоятельно обратившиеся в органы службы занятости населения.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 xml:space="preserve">При реализации Программы должно </w:t>
      </w:r>
      <w:r>
        <w:t xml:space="preserve">широко использоваться обучение с отрывом и без отрыва от трудовой деятельности, дистанционные образовательные технологии, вариативность </w:t>
      </w:r>
      <w:r>
        <w:lastRenderedPageBreak/>
        <w:t xml:space="preserve">сроков освоения образовательных программ, обучение в электронном виде, а также потенциал и опыт работы Союза "Агентство </w:t>
      </w:r>
      <w:r>
        <w:t>развития профессиональных сообществ и рабочих кадров "Молодые профессионалы (Ворлдскиллс Россия)" (далее - Союз "Ворлдскиллс Россия"), включая ежегодное проведение чемпионатов профессионального мастерства по стандартам Ворлдскиллс для людей старше 50-ти ле</w:t>
      </w:r>
      <w:r>
        <w:t>т "НАВЫКИ МУДРЫХ".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Основные программы профессионального обучения и дополнительные профессиональные программы могут быть построены в том числе на использовании модульного принципа и предусматривать возможность получения гражданами компетенций общекультурног</w:t>
      </w:r>
      <w:r>
        <w:t>о уровня в целях участия в программах развития наставничества и волонтерства. В Программе 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</w:t>
      </w:r>
      <w:r>
        <w:t>альное обучение граждан предпенсионного возраста, в целях сохранения занятости или трудоустройства указанных граждан.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Министерство труда и социальной защиты Российской Федерации как координатор Программы: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организует взаимодействие Министерства экономическо</w:t>
      </w:r>
      <w:r>
        <w:t>го развития Российской Федерации, Министерства финансов Российской Федерации, Министерства науки и высшего образования Российской Федерации, Министерства просвещения Российской Федерации, Пенсионного фонда Российской Федерации и Федеральной службы по труду</w:t>
      </w:r>
      <w:r>
        <w:t xml:space="preserve"> и занятости, а также исполнителя программы - Союза "Ворлдскиллс Россия";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осуществляет подготовку и направление органам государственной власти субъектов Российской Федерации типовых рекомендаций по реализации мероприятий по организации профессионального об</w:t>
      </w:r>
      <w:r>
        <w:t>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ра</w:t>
      </w:r>
      <w:r>
        <w:t>зрабатывает методологию определения целевого показателя Программы, отражающего уровень занятости (трудоустройства) граждан предпенсионного возраста после прохождения ими обучения.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Ключевым показателем эффективности реализации Программы является доля сохран</w:t>
      </w:r>
      <w:r>
        <w:t>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в размере не менее 85 процентов.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организация информирования граждан предпенсионного возраста о возможности участия в основных программах профессионального</w:t>
      </w:r>
      <w:r>
        <w:t xml:space="preserve"> обучения и дополнительных профессиональных программах;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организация информирования работодателей в целях участия в Программе.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lastRenderedPageBreak/>
        <w:t>Мероприятия Программы синхронизированы с мероприятиями, предусмотренными в рамках национальных проектов "Цифровая экономика Россий</w:t>
      </w:r>
      <w:r>
        <w:t>ской Федерации", "Образование Российской Федерации", "Повышение производительности труда и поддержка занятости", в части модернизации информационно-аналитической системы Общероссийская база вакансий "Работа в России" (далее - Общероссийская база вакансий "</w:t>
      </w:r>
      <w:r>
        <w:t>Работа в России"), направленной на повышение эффективности государственных услуг в сфере занятости, разработки перечня приоритетных профессий, организации профессионального обучения граждан предпенсионного возраста, находящихся под риском увольнения, на пр</w:t>
      </w:r>
      <w:r>
        <w:t>едприятиях, проводящих модернизацию производства, для сохранения их занятости, в том числе путем трудоустройства в других организациях.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Реализация мероприятий Программы увязана с мероприятиями указанных национальных проектов по комплексу решаемых задач, ис</w:t>
      </w:r>
      <w:r>
        <w:t>полнителям и срокам реализации. Такая взаимосвязь регулярно актуализируется, в том числе с учетом возможных изменений соответствующих национальных проектов.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Органами исполнительной власти субъектов Российской Федерации: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проводится анализ потребности в обуч</w:t>
      </w:r>
      <w:r>
        <w:t>ении граждан предпенсионного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 xml:space="preserve">осуществляется разработка и утверждение региональных программ (подпрограмм) по организации </w:t>
      </w:r>
      <w:r>
        <w:t>профессионального обучения и дополнительного профессионального образования граждан предпенсионного возраста на очередной год, предусматривающих механизмы реализации мероприятий по профессиональному обучению и дополнительному профессиональному образованию у</w:t>
      </w:r>
      <w:r>
        <w:t>казанной категории граждан, например, с использованием образовательных сертификатов (далее - региональные программы).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Информационные и образовательные услуги гражданам предпенсионного возраста предполагается оказывать в том числе в электронном виде с испол</w:t>
      </w:r>
      <w:r>
        <w:t>ьзованием Общероссийской базы вакансий "Работа в России" и ее подсистемы - Общероссийской социальной сети деловых контактов Skillsnet.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области содействия занятости населения и в сфере образован</w:t>
      </w:r>
      <w:r>
        <w:t>ия совместно с работодателями: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сформируют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региональных рынках труда для обучения гражд</w:t>
      </w:r>
      <w:r>
        <w:t>ан предпенсионного возраста (как для работающих граждан, так и для граждан, ищущих работу) и разместят в Общероссийской базе вакансий "Работа в России";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 xml:space="preserve">сформируют региональные банки образовательных программ для обучения граждан предпенсионного возраста в </w:t>
      </w:r>
      <w:r>
        <w:t>соответствии с перечнем наиболее востребованных профессий (навыков, компетенций);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 xml:space="preserve">организуют адресную работу с гражданами предпенсионного возраста (работающими и ищущими работу) и работодателями с целью организации обучения указанных категорий граждан, </w:t>
      </w:r>
      <w:r>
        <w:lastRenderedPageBreak/>
        <w:t>а т</w:t>
      </w:r>
      <w:r>
        <w:t>акже организуют мониторинг трудоустройства и закрепляемости их на рабочих местах.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При обучении граждан предпенсионного возраста необходимо использовать различные технологии, в том числе дистанционные с использованием современных средств информационного обе</w:t>
      </w:r>
      <w:r>
        <w:t>спечения и коммуникации.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предпенсионного возраста как состоящих в трудовых отношениях, так и ищущих работу. </w:t>
      </w:r>
      <w:r>
        <w:t>Для этого предполагается использовать 3 основных механизма организации обучения.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Первый механизм - обучение граждан, обратившихся в органы занятости населения и получивших направление в организации, осуществляющие образовательную деятельность, имеющие лице</w:t>
      </w:r>
      <w:r>
        <w:t>нзии на образовательную деятельность по соответствующим образовательным программам и участвующие в соответствующих региональных программах (далее - образовательная организация, участвующая в Программе). Этот механизм включает в себя следующие этапы: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гражда</w:t>
      </w:r>
      <w:r>
        <w:t>нин предпенсионного возраста, желающий пройти обучение, обращается в органы занятости населения;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органы занятости населения выбирают из имеющихся в банке образовательных программ наиболее подходящий по уровню квалификации, форме и срокам обучения для гражд</w:t>
      </w:r>
      <w:r>
        <w:t>анина вариант;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гражданин получает направление в образовательную организацию, участвующую в Программе.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По желанию субъектов Российской Федерации может быть реализован механизм образовательных сертификатов, когда заявитель самостоятельно определяется с вариа</w:t>
      </w:r>
      <w:r>
        <w:t>нтом образовательной программы из возможных вариантов и обращается в службу занятости для получения образовательного сертификата, позволяющего освоить соответствующую образовательную программу в пределах субъекта Российской Федерации в удобное время в любо</w:t>
      </w:r>
      <w:r>
        <w:t>й из образовательных организаций, участвующих в Программе.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Для незанятых граждан, ищущих работу, в период обучения предусмотрена выплата стипендии. Расчетный размер стипендии равен минимальному размеру оплаты труда, установленному Федеральным законом "О ми</w:t>
      </w:r>
      <w:r>
        <w:t>нимальном размере оплаты труда", увеличенному на районный коэффициент.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Второй механизм - обучение работников предпенсионного возраста по направлению работодателей. В целях развития профессиональных навыков работников предпенсионного возраста работодатель о</w:t>
      </w:r>
      <w:r>
        <w:t>бращается в органы занятости населения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</w:t>
      </w:r>
      <w:r>
        <w:t>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lastRenderedPageBreak/>
        <w:t>Третий механизм - организация процесса обучения граждан предпенсионного возраста по международным проф</w:t>
      </w:r>
      <w:r>
        <w:t>ессиональным стандартам с использованием инфраструктуры Союза "Ворлдскиллс Россия". Гражданин, желающий пройти обучение по одной из профессий, заявленных Союзом "Ворлдскиллс Россия", обращается на специальный сайт Союза "Ворлдскиллс Россия" ("Академия Ворл</w:t>
      </w:r>
      <w:r>
        <w:t>дскиллс") в информационно-телекоммуникационной сети "Интернет". При заполнении заявления гражданин проходит тестирование в целях определения уровня профессиональной компетенции, по результатам которого определяется образовательная программа.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По итогам обуч</w:t>
      </w:r>
      <w:r>
        <w:t xml:space="preserve">ения проводится экзамен и выдается отдельный документ - "Скиллс Паспорт" с "профилем профессиональных компетенций", который по желанию гражданина может использоваться при составлении резюме, которое автоматически размещается в Общероссийской базе вакансий </w:t>
      </w:r>
      <w:r>
        <w:t>"Работа в России".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По окончании обучения с использованием любого механизма организации обучения проводится экзамен, по итогам которого гражданам выдаются документы о квалификации: удостоверение о повышении квалификации и (или) диплом о профессиональной пер</w:t>
      </w:r>
      <w:r>
        <w:t>еподготовке, образцы которых самостоятельно устанавливаются образовательными организациями, участвующими в Программе.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В первом и третьем механизмах организации обучения расходы на обучение граждан предпенсионного возраста будут компенсироваться образовател</w:t>
      </w:r>
      <w:r>
        <w:t>ьной организации, участвующей в Программе, и Союзу "Ворлдскиллс Россия" из средств, предусмотренных на реализацию Программы в федеральном бюджете и бюджетах субъектов Российской Федерации, с условием, что обучение проведено полностью.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Во втором механизме о</w:t>
      </w:r>
      <w:r>
        <w:t>рганизации обучения расходы на обучение работников предпенсионного возраста будут компенсироваться работодателю из средств, предусмотренных на реализацию Программы в федеральном бюджете и бюджетах субъектов Российской Федерации, при условии, что обучение б</w:t>
      </w:r>
      <w:r>
        <w:t>удет проведено полностью и что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Финансовое обеспечение мероприятий Программы из федерального бюджета будет осуществ</w:t>
      </w:r>
      <w:r>
        <w:t>ляться за счет средств, предусмотренных в федеральном бюджете на реализацию соответствующих мероприятий в рамках федерального проекта "Старшее поколение" национального проекта "Демография".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Организация учета участников Программы позволит избежать дублирования участия граждан в мероприятиях по обучению, в том числе через Союз "Ворлдскиллс Россия", а также двойного финансирования.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t>Ежегодно, начиная с 2019 года, мероприятиями по профессиональном</w:t>
      </w:r>
      <w:r>
        <w:t>у обучению и дополнительному профессиональному образованию будут охвачены не менее 75 тыс. граждан предпенсионного возраста, из них 25 тыс. человек - с использованием инфраструктуры Союза "Ворлдскиллс Россия". Таким образом, к концу 2024 года мероприятиями</w:t>
      </w:r>
      <w:r>
        <w:t xml:space="preserve"> по профессиональному обучению и дополнительному профессиональному образованию будет охвачено не менее 450 тыс. человек.</w:t>
      </w:r>
    </w:p>
    <w:p w:rsidR="00000000" w:rsidRDefault="00BC437C">
      <w:pPr>
        <w:pStyle w:val="ConsPlusNormal"/>
        <w:spacing w:before="240"/>
        <w:ind w:firstLine="540"/>
        <w:jc w:val="both"/>
      </w:pPr>
      <w:r>
        <w:lastRenderedPageBreak/>
        <w:t>Реализация Программы создаст экономические и социальные условия, обеспечивающие недопущение дискриминации граждан предпенсионного возра</w:t>
      </w:r>
      <w:r>
        <w:t>ста в связи с увеличением пенсионного возраста, и будет способствовать продолжению их трудовой деятельности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jc w:val="right"/>
        <w:outlineLvl w:val="0"/>
      </w:pPr>
      <w:r>
        <w:t>Утвержден</w:t>
      </w:r>
    </w:p>
    <w:p w:rsidR="00000000" w:rsidRDefault="00BC437C">
      <w:pPr>
        <w:pStyle w:val="ConsPlusNormal"/>
        <w:jc w:val="right"/>
      </w:pPr>
      <w:r>
        <w:t>распоряжением Правительства</w:t>
      </w:r>
    </w:p>
    <w:p w:rsidR="00000000" w:rsidRDefault="00BC437C">
      <w:pPr>
        <w:pStyle w:val="ConsPlusNormal"/>
        <w:jc w:val="right"/>
      </w:pPr>
      <w:r>
        <w:t>Российской Федерации</w:t>
      </w:r>
    </w:p>
    <w:p w:rsidR="00000000" w:rsidRDefault="00BC437C">
      <w:pPr>
        <w:pStyle w:val="ConsPlusNormal"/>
        <w:jc w:val="right"/>
      </w:pPr>
      <w:r>
        <w:t>от 30 декабря 2018 г. N 3025-р</w:t>
      </w:r>
    </w:p>
    <w:p w:rsidR="00000000" w:rsidRDefault="00BC437C">
      <w:pPr>
        <w:pStyle w:val="ConsPlusNormal"/>
        <w:jc w:val="right"/>
      </w:pPr>
    </w:p>
    <w:p w:rsidR="00000000" w:rsidRDefault="00BC437C">
      <w:pPr>
        <w:pStyle w:val="ConsPlusTitle"/>
        <w:jc w:val="center"/>
      </w:pPr>
      <w:bookmarkStart w:id="1" w:name="Par78"/>
      <w:bookmarkEnd w:id="1"/>
      <w:r>
        <w:t>ПЛАН</w:t>
      </w:r>
    </w:p>
    <w:p w:rsidR="00000000" w:rsidRDefault="00BC437C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000000" w:rsidRDefault="00BC437C">
      <w:pPr>
        <w:pStyle w:val="ConsPlusTitle"/>
        <w:jc w:val="center"/>
      </w:pPr>
      <w:r>
        <w:t>И ДОПОЛНИТЕЛЬНОГО ПРОФЕССИОНАЛЬНОГО ОБРАЗОВАНИЯ ГРАЖДАН</w:t>
      </w:r>
    </w:p>
    <w:p w:rsidR="00000000" w:rsidRDefault="00BC437C">
      <w:pPr>
        <w:pStyle w:val="ConsPlusTitle"/>
        <w:jc w:val="center"/>
      </w:pPr>
      <w:r>
        <w:t>ПРЕДПЕНСИОННОГО ВОЗРАСТА НА ПЕРИОД ДО 2024 ГОДА</w:t>
      </w:r>
    </w:p>
    <w:p w:rsidR="00000000" w:rsidRDefault="00BC437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701"/>
        <w:gridCol w:w="2098"/>
        <w:gridCol w:w="1871"/>
      </w:tblGrid>
      <w:tr w:rsidR="00000000"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BC437C">
            <w:pPr>
              <w:pStyle w:val="ConsPlusNormal"/>
            </w:pPr>
            <w:r>
              <w:t>Подготовка типовых рекомендаций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</w:t>
            </w:r>
            <w:r>
              <w:t>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BC437C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BC437C">
            <w:pPr>
              <w:pStyle w:val="ConsPlusNormal"/>
            </w:pPr>
            <w:r>
              <w:t>подготовлены и направлены в субъекты Российской Федерации типовые рекомендации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Разработка и утверждение региональных программ по орг</w:t>
            </w:r>
            <w:r>
              <w:t xml:space="preserve">анизации профессионального </w:t>
            </w:r>
            <w:r>
              <w:lastRenderedPageBreak/>
              <w:t>обучения и дополнительного профессионального образования граждан предпенсионного возраста на очередной год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15 февраля 2019 г.,</w:t>
            </w:r>
          </w:p>
          <w:p w:rsidR="00000000" w:rsidRDefault="00BC437C">
            <w:pPr>
              <w:pStyle w:val="ConsPlusNormal"/>
              <w:jc w:val="center"/>
            </w:pPr>
            <w:r>
              <w:t>да</w:t>
            </w:r>
            <w:r>
              <w:t xml:space="preserve">лее ежегодно до </w:t>
            </w:r>
            <w:r>
              <w:lastRenderedPageBreak/>
              <w:t>2024 года в сроки, предусмотренные бюджетным законодательством для заключения соглашений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lastRenderedPageBreak/>
              <w:t>акты субъектов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Прогноз численности граждан предпенсионного возраст</w:t>
            </w:r>
            <w:r>
              <w:t>а по субъектам Российской Федерации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BC437C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подготовлены и направлены в Минтруд России данные о прогнозируемой численн</w:t>
            </w:r>
            <w:r>
              <w:t>ости работников предпенсионного возраста на очередной год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Определение перечней наиболее востребованных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BC437C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</w:t>
            </w:r>
            <w:r>
              <w:t>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сформированы (актуализированы) перечни во всех субъектах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Формирование и актуализация банка образовательных программ для обучения граждан предпенсионного возраста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BC437C">
            <w:pPr>
              <w:pStyle w:val="ConsPlusNormal"/>
              <w:jc w:val="center"/>
            </w:pPr>
            <w:r>
              <w:t>далее по мере необходимости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BC437C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сформирован банк образовательных программ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Привлечение центров опережающей профессиональной подготовки на базе лучших профессиональных обр</w:t>
            </w:r>
            <w:r>
              <w:t xml:space="preserve">азовательных организаций субъектов Российской Федерации, оснащенных современным </w:t>
            </w:r>
            <w:r>
              <w:lastRenderedPageBreak/>
              <w:t>оборудованием, для организации профессионального обучения и дополнительного профессионального образования граждан предпенсионного возраста по наиболее востребованным и перспект</w:t>
            </w:r>
            <w:r>
              <w:t>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Минпросвещения России,</w:t>
            </w:r>
          </w:p>
          <w:p w:rsidR="00000000" w:rsidRDefault="00BC437C">
            <w:pPr>
              <w:pStyle w:val="ConsPlusNormal"/>
            </w:pPr>
            <w:r>
              <w:t>органы исполнительной власти су</w:t>
            </w:r>
            <w:r>
              <w:t>бъектов Российской 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привлечено 100 центров опережающей профессиональной подготовки к концу 2024 года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Организация профессиональной ориентации и профилирования граждан предпенсионного возраста по профессиям (навыкам, компетенциям) в целях подбор</w:t>
            </w:r>
            <w:r>
              <w:t>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2019 - 2024 гг.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BC437C">
            <w:pPr>
              <w:pStyle w:val="ConsPlusNormal"/>
            </w:pPr>
            <w:r>
              <w:t>Роструд,</w:t>
            </w:r>
          </w:p>
          <w:p w:rsidR="00000000" w:rsidRDefault="00BC437C">
            <w:pPr>
              <w:pStyle w:val="ConsPlusNormal"/>
            </w:pPr>
            <w:r>
              <w:t>Минтруд России,</w:t>
            </w:r>
          </w:p>
          <w:p w:rsidR="00000000" w:rsidRDefault="00BC437C">
            <w:pPr>
              <w:pStyle w:val="ConsPlusNormal"/>
            </w:pPr>
            <w:r>
              <w:t>Минпросвещения России,</w:t>
            </w:r>
          </w:p>
          <w:p w:rsidR="00000000" w:rsidRDefault="00BC437C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организовано предоставление услуг по профориентации и профобучению в субъектах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Организация взаимодействия с работодателями на предмет определения потребности в профессиональных навыках с целью корректировки региональных программ на</w:t>
            </w:r>
            <w:r>
              <w:t xml:space="preserve"> очередной год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BC437C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BC437C">
            <w:pPr>
              <w:pStyle w:val="ConsPlusNormal"/>
            </w:pPr>
            <w:r>
              <w:t>объединения работодателей,</w:t>
            </w:r>
          </w:p>
          <w:p w:rsidR="00000000" w:rsidRDefault="00BC437C">
            <w:pPr>
              <w:pStyle w:val="ConsPlusNormal"/>
            </w:pPr>
            <w:r>
              <w:t xml:space="preserve">региональные трехсторонние комиссии по </w:t>
            </w:r>
            <w:r>
              <w:lastRenderedPageBreak/>
              <w:t>регулированию социально-трудовых отношений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lastRenderedPageBreak/>
              <w:t xml:space="preserve">предложения направлены </w:t>
            </w:r>
            <w:r>
              <w:t>в Минтруд России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Подготовка предложений по корректировке региональных программ с учетом прогноза потребности граждан предпенсионного возраста в профессиональном обучении и дополнительном профессиональном образовании - (в том числе путем проведения соци</w:t>
            </w:r>
            <w:r>
              <w:t>ологических исследований) на очередной финансовый год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III квартал 2019 г.,</w:t>
            </w:r>
          </w:p>
          <w:p w:rsidR="00000000" w:rsidRDefault="00BC437C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аналитические материалы с соответствующими прогнозами направлены в Минтруд России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Мониторинг трудоустройства и закрепляемости на рабочих местах работников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2019 - 2023 гг. ежеквартально, начиная с III квартала 2019 г.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</w:t>
            </w:r>
            <w:r>
              <w:t>ительной власти субъектов Российской Федерации,</w:t>
            </w:r>
          </w:p>
          <w:p w:rsidR="00000000" w:rsidRDefault="00BC437C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BC437C">
            <w:pPr>
              <w:pStyle w:val="ConsPlusNormal"/>
            </w:pPr>
            <w:r>
              <w:t>Роструд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сформированы аналитические данные в ежемесячном режиме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Организация информирования граждан о возможности участия в программах профессионального обучения и доп</w:t>
            </w:r>
            <w:r>
              <w:t>олнительного профессионального образования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BC437C">
            <w:pPr>
              <w:pStyle w:val="ConsPlusNormal"/>
            </w:pPr>
            <w:r>
              <w:t>объединения работодателей,</w:t>
            </w:r>
          </w:p>
          <w:p w:rsidR="00000000" w:rsidRDefault="00BC437C">
            <w:pPr>
              <w:pStyle w:val="ConsPlusNormal"/>
            </w:pPr>
            <w: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организовано информировани</w:t>
            </w:r>
            <w:r>
              <w:t>е граждан о возможностях участия в региональных программах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организовано информирование работодателей для участия в региональных программах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Реализация программ профессионального обучения и дополнительного профессионального образования граждан предпенсионного возраста с целью актуализации компетенций и обновлен</w:t>
            </w:r>
            <w:r>
              <w:t>ия профессиональных знаний данной категории граждан, в том числе: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BC437C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обучено не менее 75 тыс. граждан по Российской Федерации ежегодно за период 2019 - 202</w:t>
            </w:r>
            <w:r>
              <w:t>4 годов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00000" w:rsidRDefault="00BC437C">
            <w:pPr>
              <w:pStyle w:val="ConsPlusNormal"/>
              <w:ind w:left="453"/>
            </w:pPr>
            <w:r>
              <w:t>обучение не менее 300 тыс. граждан предпенсионного возраста в рамках компетенции органов службы занятости субъектов Российской Федерации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 xml:space="preserve">обучено не менее 300 тыс. граждан по Российской </w:t>
            </w:r>
            <w:r>
              <w:t>Федерации за период 2019 - 2024 годов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00000" w:rsidRDefault="00BC437C">
            <w:pPr>
              <w:pStyle w:val="ConsPlusNormal"/>
              <w:ind w:left="453"/>
            </w:pPr>
            <w:r>
              <w:t>обучение не менее 150 тыс. граждан предпенсионного возраста с использованием возможностей Союза "Ворлдскиллс Россия"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обучено не менее 150 тыс. граждан по Российской Федерации за период 2019 - 2024 годов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Разработка методологии определения целевого показателя, отражающего уровень занятости (уровень трудоустройства) граждан предпенсионного возраста после прохождения им</w:t>
            </w:r>
            <w:r>
              <w:t>и обучения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Минтруд России,</w:t>
            </w:r>
          </w:p>
          <w:p w:rsidR="00000000" w:rsidRDefault="00BC437C">
            <w:pPr>
              <w:pStyle w:val="ConsPlusNormal"/>
            </w:pPr>
            <w:r>
              <w:t>Роструд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принят приказ Минтруда России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</w:t>
            </w:r>
            <w:r>
              <w:t>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Минтруд России,</w:t>
            </w:r>
          </w:p>
          <w:p w:rsidR="00000000" w:rsidRDefault="00BC437C">
            <w:pPr>
              <w:pStyle w:val="ConsPlusNormal"/>
            </w:pPr>
            <w:r>
              <w:t>Минфин России,</w:t>
            </w:r>
          </w:p>
          <w:p w:rsidR="00000000" w:rsidRDefault="00BC437C">
            <w:pPr>
              <w:pStyle w:val="ConsPlusNormal"/>
            </w:pPr>
            <w:r>
              <w:t>Минэкономразвития России,</w:t>
            </w:r>
          </w:p>
          <w:p w:rsidR="00000000" w:rsidRDefault="00BC437C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подготовлено постановление Правительства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BC43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000000" w:rsidRDefault="00BC437C">
            <w:pPr>
              <w:pStyle w:val="ConsPlusNormal"/>
            </w:pPr>
            <w:r>
              <w:t>Утверждение правил предоставления субсидии из федерального бюджета Союзу "Ворлдскиллс Россия" на организацию профессионального обучения и доп</w:t>
            </w:r>
            <w:r>
              <w:t>олнительного профессионального образования граждан предпенсионного возраста, а также 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</w:tcPr>
          <w:p w:rsidR="00000000" w:rsidRDefault="00BC437C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098" w:type="dxa"/>
          </w:tcPr>
          <w:p w:rsidR="00000000" w:rsidRDefault="00BC437C">
            <w:pPr>
              <w:pStyle w:val="ConsPlusNormal"/>
            </w:pPr>
            <w:r>
              <w:t>Минтруд России,</w:t>
            </w:r>
          </w:p>
          <w:p w:rsidR="00000000" w:rsidRDefault="00BC437C">
            <w:pPr>
              <w:pStyle w:val="ConsPlusNormal"/>
            </w:pPr>
            <w:r>
              <w:t>Минфин России,</w:t>
            </w:r>
          </w:p>
          <w:p w:rsidR="00000000" w:rsidRDefault="00BC437C">
            <w:pPr>
              <w:pStyle w:val="ConsPlusNormal"/>
            </w:pPr>
            <w:r>
              <w:t>Минэкономразвития России,</w:t>
            </w:r>
          </w:p>
          <w:p w:rsidR="00000000" w:rsidRDefault="00BC437C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71" w:type="dxa"/>
          </w:tcPr>
          <w:p w:rsidR="00000000" w:rsidRDefault="00BC437C">
            <w:pPr>
              <w:pStyle w:val="ConsPlusNormal"/>
            </w:pPr>
            <w:r>
              <w:t>принято постановление Правительства Российской Федерации</w:t>
            </w:r>
          </w:p>
        </w:tc>
      </w:tr>
      <w:tr w:rsidR="00000000"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BC437C">
            <w:pPr>
              <w:pStyle w:val="ConsPlusNormal"/>
            </w:pPr>
            <w:r>
              <w:t>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BC437C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BC437C">
            <w:pPr>
              <w:pStyle w:val="ConsPlusNormal"/>
            </w:pPr>
            <w:r>
              <w:t>Союз "Ворлд</w:t>
            </w:r>
            <w:r>
              <w:t>скиллс Россия",</w:t>
            </w:r>
          </w:p>
          <w:p w:rsidR="00000000" w:rsidRDefault="00BC437C">
            <w:pPr>
              <w:pStyle w:val="ConsPlusNormal"/>
            </w:pPr>
            <w:r>
              <w:t>Минпросвещения России,</w:t>
            </w:r>
          </w:p>
          <w:p w:rsidR="00000000" w:rsidRDefault="00BC437C">
            <w:pPr>
              <w:pStyle w:val="ConsPlusNormal"/>
            </w:pPr>
            <w:r>
              <w:t>Минтруд России,</w:t>
            </w:r>
          </w:p>
          <w:p w:rsidR="00000000" w:rsidRDefault="00BC437C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BC437C">
            <w:pPr>
              <w:pStyle w:val="ConsPlusNormal"/>
            </w:pPr>
            <w:r>
              <w:lastRenderedPageBreak/>
              <w:t xml:space="preserve">проведение чемпионатов профессионального мастерства по стандартам Ворлдскиллс </w:t>
            </w:r>
            <w:r>
              <w:lastRenderedPageBreak/>
              <w:t>для людей старше 50-ти лет "НАВЫКИ МУДРЫХ"</w:t>
            </w:r>
          </w:p>
        </w:tc>
      </w:tr>
    </w:tbl>
    <w:p w:rsidR="00000000" w:rsidRDefault="00BC437C">
      <w:pPr>
        <w:pStyle w:val="ConsPlusNormal"/>
        <w:ind w:firstLine="540"/>
        <w:jc w:val="both"/>
      </w:pPr>
    </w:p>
    <w:p w:rsidR="00000000" w:rsidRDefault="00BC437C">
      <w:pPr>
        <w:pStyle w:val="ConsPlusNormal"/>
        <w:ind w:firstLine="540"/>
        <w:jc w:val="both"/>
      </w:pPr>
    </w:p>
    <w:p w:rsidR="00BC437C" w:rsidRDefault="00BC4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437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7C" w:rsidRDefault="00BC437C">
      <w:pPr>
        <w:spacing w:after="0" w:line="240" w:lineRule="auto"/>
      </w:pPr>
      <w:r>
        <w:separator/>
      </w:r>
    </w:p>
  </w:endnote>
  <w:endnote w:type="continuationSeparator" w:id="1">
    <w:p w:rsidR="00BC437C" w:rsidRDefault="00BC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3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37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37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50D66">
            <w:rPr>
              <w:sz w:val="20"/>
              <w:szCs w:val="20"/>
            </w:rPr>
            <w:fldChar w:fldCharType="separate"/>
          </w:r>
          <w:r w:rsidR="00850D66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50D66">
            <w:rPr>
              <w:sz w:val="20"/>
              <w:szCs w:val="20"/>
            </w:rPr>
            <w:fldChar w:fldCharType="separate"/>
          </w:r>
          <w:r w:rsidR="00850D66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43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7C" w:rsidRDefault="00BC437C">
      <w:pPr>
        <w:spacing w:after="0" w:line="240" w:lineRule="auto"/>
      </w:pPr>
      <w:r>
        <w:separator/>
      </w:r>
    </w:p>
  </w:footnote>
  <w:footnote w:type="continuationSeparator" w:id="1">
    <w:p w:rsidR="00BC437C" w:rsidRDefault="00BC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3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30.12.2018 N 3025-р</w:t>
          </w:r>
          <w:r>
            <w:rPr>
              <w:sz w:val="16"/>
              <w:szCs w:val="16"/>
            </w:rPr>
            <w:br/>
            <w:t>&lt;Об утверждении специальной программы профессионального обучения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37C">
          <w:pPr>
            <w:pStyle w:val="ConsPlusNormal"/>
            <w:jc w:val="center"/>
          </w:pPr>
        </w:p>
        <w:p w:rsidR="00000000" w:rsidRDefault="00BC437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43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</w:t>
          </w:r>
          <w:r>
            <w:rPr>
              <w:sz w:val="16"/>
              <w:szCs w:val="16"/>
            </w:rPr>
            <w:t>ния: 15.01.2019</w:t>
          </w:r>
        </w:p>
      </w:tc>
    </w:tr>
  </w:tbl>
  <w:p w:rsidR="00000000" w:rsidRDefault="00BC4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3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003B1"/>
    <w:rsid w:val="00850D66"/>
    <w:rsid w:val="00BC437C"/>
    <w:rsid w:val="00E0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3321</Words>
  <Characters>18931</Characters>
  <Application>Microsoft Office Word</Application>
  <DocSecurity>2</DocSecurity>
  <Lines>157</Lines>
  <Paragraphs>44</Paragraphs>
  <ScaleCrop>false</ScaleCrop>
  <Company>КонсультантПлюс Версия 4017.00.95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30.12.2018 N 3025-р&lt;Об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года&gt;(вместе с "Планом мероприятий по о</dc:title>
  <dc:creator>naimushina</dc:creator>
  <cp:lastModifiedBy>naimushina</cp:lastModifiedBy>
  <cp:revision>2</cp:revision>
  <dcterms:created xsi:type="dcterms:W3CDTF">2019-01-15T12:41:00Z</dcterms:created>
  <dcterms:modified xsi:type="dcterms:W3CDTF">2019-01-15T12:41:00Z</dcterms:modified>
</cp:coreProperties>
</file>